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Default="00574099" w:rsidP="00057BC5">
      <w:pPr>
        <w:jc w:val="cente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hyperlink r:id="rId5" w:history="1">
        <w:r w:rsidR="005E7EEA" w:rsidRPr="008D4B37">
          <w:rPr>
            <w:rStyle w:val="Collegamentoipertestuale"/>
            <w:rFonts w:ascii="Century Gothic" w:eastAsia="Times New Roman" w:hAnsi="Century Gothic" w:cs="Times New Roman"/>
            <w:szCs w:val="20"/>
            <w:lang w:eastAsia="it-IT"/>
          </w:rPr>
          <w:t>info@pec.cr-rovereto.net</w:t>
        </w:r>
      </w:hyperlink>
    </w:p>
    <w:p w:rsidR="005E7EEA" w:rsidRPr="00057BC5" w:rsidRDefault="005E7EEA"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bookmarkStart w:id="0" w:name="_GoBack"/>
            <w:bookmarkEnd w:id="0"/>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963F6"/>
    <w:rsid w:val="002C766A"/>
    <w:rsid w:val="003A5080"/>
    <w:rsid w:val="004452B4"/>
    <w:rsid w:val="004C0B51"/>
    <w:rsid w:val="004D3BB6"/>
    <w:rsid w:val="00502A79"/>
    <w:rsid w:val="005325EA"/>
    <w:rsid w:val="00574099"/>
    <w:rsid w:val="005E7EEA"/>
    <w:rsid w:val="006101D1"/>
    <w:rsid w:val="0067482E"/>
    <w:rsid w:val="006B1477"/>
    <w:rsid w:val="006D6141"/>
    <w:rsid w:val="00772B9D"/>
    <w:rsid w:val="00776B09"/>
    <w:rsid w:val="00794C4F"/>
    <w:rsid w:val="007F15B1"/>
    <w:rsid w:val="00A90217"/>
    <w:rsid w:val="00B211D6"/>
    <w:rsid w:val="00B56047"/>
    <w:rsid w:val="00C074F5"/>
    <w:rsid w:val="00C5453D"/>
    <w:rsid w:val="00C66331"/>
    <w:rsid w:val="00C91143"/>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BCD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character" w:styleId="Collegamentoipertestuale">
    <w:name w:val="Hyperlink"/>
    <w:basedOn w:val="Carpredefinitoparagrafo"/>
    <w:uiPriority w:val="99"/>
    <w:unhideWhenUsed/>
    <w:rsid w:val="005E7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c.cr-rover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7A7356DA.dotm</Template>
  <TotalTime>3</TotalTime>
  <Pages>3</Pages>
  <Words>844</Words>
  <Characters>4814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Cillis</cp:lastModifiedBy>
  <cp:revision>4</cp:revision>
  <dcterms:created xsi:type="dcterms:W3CDTF">2020-05-06T10:46:00Z</dcterms:created>
  <dcterms:modified xsi:type="dcterms:W3CDTF">2020-05-06T10:50:00Z</dcterms:modified>
</cp:coreProperties>
</file>